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D29" w:rsidRPr="00C95FD8" w:rsidRDefault="002C2D29" w:rsidP="00DD6442">
      <w:pPr>
        <w:spacing w:after="120"/>
        <w:jc w:val="right"/>
        <w:rPr>
          <w:rFonts w:ascii="Arial" w:hAnsi="Arial" w:cs="Arial"/>
          <w:b/>
          <w:sz w:val="22"/>
          <w:szCs w:val="22"/>
        </w:rPr>
      </w:pPr>
      <w:r w:rsidRPr="00C95FD8">
        <w:rPr>
          <w:rFonts w:ascii="Arial" w:hAnsi="Arial" w:cs="Arial"/>
          <w:b/>
          <w:bCs/>
          <w:sz w:val="22"/>
          <w:szCs w:val="22"/>
        </w:rPr>
        <w:t>II.</w:t>
      </w:r>
    </w:p>
    <w:p w:rsidR="00A0580F" w:rsidRPr="00C95FD8" w:rsidRDefault="00A0580F" w:rsidP="00DD6442">
      <w:pPr>
        <w:spacing w:after="120"/>
        <w:jc w:val="center"/>
        <w:rPr>
          <w:rFonts w:ascii="Arial" w:hAnsi="Arial" w:cs="Arial"/>
          <w:b/>
          <w:sz w:val="22"/>
          <w:szCs w:val="22"/>
        </w:rPr>
      </w:pPr>
    </w:p>
    <w:p w:rsidR="009A666E" w:rsidRPr="00C95FD8" w:rsidRDefault="002C2D29" w:rsidP="00DD6442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C95FD8">
        <w:rPr>
          <w:rFonts w:ascii="Arial" w:hAnsi="Arial" w:cs="Arial"/>
          <w:b/>
          <w:sz w:val="22"/>
          <w:szCs w:val="22"/>
        </w:rPr>
        <w:t>PŘEDKLÁDACÍ ZPRÁVA</w:t>
      </w:r>
    </w:p>
    <w:p w:rsidR="002C2D29" w:rsidRPr="00C95FD8" w:rsidRDefault="002C2D29" w:rsidP="00DD6442">
      <w:pPr>
        <w:spacing w:after="120"/>
        <w:jc w:val="center"/>
        <w:rPr>
          <w:rFonts w:ascii="Arial" w:hAnsi="Arial" w:cs="Arial"/>
          <w:b/>
          <w:sz w:val="22"/>
          <w:szCs w:val="22"/>
        </w:rPr>
      </w:pPr>
    </w:p>
    <w:p w:rsidR="00A0580F" w:rsidRDefault="00087571" w:rsidP="00087571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Usnesením vlády České republiky ze dne 8. února 2017 č. 107 byla schválena Metodika hodnocení výzkumných organizací a hodnocení programů účelové podpory výzkumu, vývoje a inovací</w:t>
      </w:r>
      <w:r w:rsidR="00052CA0">
        <w:rPr>
          <w:rFonts w:ascii="Arial" w:hAnsi="Arial" w:cs="Arial"/>
          <w:sz w:val="22"/>
          <w:szCs w:val="22"/>
        </w:rPr>
        <w:t xml:space="preserve"> (dále jen „Metodika 2017+“)</w:t>
      </w:r>
      <w:r>
        <w:rPr>
          <w:rFonts w:ascii="Arial" w:hAnsi="Arial" w:cs="Arial"/>
          <w:sz w:val="22"/>
          <w:szCs w:val="22"/>
        </w:rPr>
        <w:t>. V bodu II. 2. bylo ulo</w:t>
      </w:r>
      <w:r w:rsidR="00C764CC">
        <w:rPr>
          <w:rFonts w:ascii="Arial" w:hAnsi="Arial" w:cs="Arial"/>
          <w:sz w:val="22"/>
          <w:szCs w:val="22"/>
        </w:rPr>
        <w:t>ženo dopracovat přesný postup a </w:t>
      </w:r>
      <w:r>
        <w:rPr>
          <w:rFonts w:ascii="Arial" w:hAnsi="Arial" w:cs="Arial"/>
          <w:sz w:val="22"/>
          <w:szCs w:val="22"/>
        </w:rPr>
        <w:t>způsob hodnocení a vládě předložit metodiku dopracovanou do podoby požadovaného detailu pro kompletní hodnocení pro úroveň segmentu vysokých škol a připravit proces implementace kompletního hodnocení pro segment vysokých škol.</w:t>
      </w:r>
    </w:p>
    <w:p w:rsidR="00087571" w:rsidRDefault="00BF7CAC" w:rsidP="00087571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Úkol byl dále usnesením</w:t>
      </w:r>
      <w:r w:rsidRPr="00BF7CA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Rady pro výzkum, vývoj a inovace (dále jen „RVVI“) uložen</w:t>
      </w:r>
      <w:r w:rsidR="00F1407B">
        <w:rPr>
          <w:rFonts w:ascii="Arial" w:hAnsi="Arial" w:cs="Arial"/>
          <w:sz w:val="22"/>
          <w:szCs w:val="22"/>
        </w:rPr>
        <w:t xml:space="preserve"> 1. </w:t>
      </w:r>
      <w:r>
        <w:rPr>
          <w:rFonts w:ascii="Arial" w:hAnsi="Arial" w:cs="Arial"/>
          <w:sz w:val="22"/>
          <w:szCs w:val="22"/>
        </w:rPr>
        <w:t>místopředsedovi RVVI</w:t>
      </w:r>
      <w:r w:rsidR="00087571">
        <w:rPr>
          <w:rFonts w:ascii="Arial" w:hAnsi="Arial" w:cs="Arial"/>
          <w:sz w:val="22"/>
          <w:szCs w:val="22"/>
        </w:rPr>
        <w:t xml:space="preserve"> Rady pro výzkum, vývoj a inovace</w:t>
      </w:r>
      <w:r w:rsidR="008F628F">
        <w:rPr>
          <w:rFonts w:ascii="Arial" w:hAnsi="Arial" w:cs="Arial"/>
          <w:sz w:val="22"/>
          <w:szCs w:val="22"/>
        </w:rPr>
        <w:t>,</w:t>
      </w:r>
      <w:r w:rsidR="0008757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který </w:t>
      </w:r>
      <w:r w:rsidR="00087571">
        <w:rPr>
          <w:rFonts w:ascii="Arial" w:hAnsi="Arial" w:cs="Arial"/>
          <w:sz w:val="22"/>
          <w:szCs w:val="22"/>
        </w:rPr>
        <w:t>ve spolupráci s Ministerstvem školství, mládeže a tělovýchovy, Ministerstvem obrany, Ministerstvem vnitra a oběma orgány reprezentace vysokých škol</w:t>
      </w:r>
      <w:r w:rsidR="008F628F">
        <w:rPr>
          <w:rFonts w:ascii="Arial" w:hAnsi="Arial" w:cs="Arial"/>
          <w:sz w:val="22"/>
          <w:szCs w:val="22"/>
        </w:rPr>
        <w:t>,</w:t>
      </w:r>
      <w:r w:rsidR="0008757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připravil </w:t>
      </w:r>
      <w:r w:rsidR="00087571">
        <w:rPr>
          <w:rFonts w:ascii="Arial" w:hAnsi="Arial" w:cs="Arial"/>
          <w:sz w:val="22"/>
          <w:szCs w:val="22"/>
        </w:rPr>
        <w:t xml:space="preserve">předkládaný </w:t>
      </w:r>
      <w:r w:rsidR="00DC382C">
        <w:rPr>
          <w:rFonts w:ascii="Arial" w:hAnsi="Arial" w:cs="Arial"/>
          <w:sz w:val="22"/>
          <w:szCs w:val="22"/>
        </w:rPr>
        <w:t>návrh M</w:t>
      </w:r>
      <w:r w:rsidR="00087571">
        <w:rPr>
          <w:rFonts w:ascii="Arial" w:hAnsi="Arial" w:cs="Arial"/>
          <w:sz w:val="22"/>
          <w:szCs w:val="22"/>
        </w:rPr>
        <w:t>etodiky hodnocení výzkumných organizací v segmentu vysokých škol (dále jen „Metodika pro VŠ“)</w:t>
      </w:r>
      <w:r w:rsidR="00126ED8">
        <w:rPr>
          <w:rFonts w:ascii="Arial" w:hAnsi="Arial" w:cs="Arial"/>
          <w:sz w:val="22"/>
          <w:szCs w:val="22"/>
        </w:rPr>
        <w:t>, který jako příloha 5</w:t>
      </w:r>
      <w:r w:rsidR="00052CA0">
        <w:rPr>
          <w:rFonts w:ascii="Arial" w:hAnsi="Arial" w:cs="Arial"/>
          <w:sz w:val="22"/>
          <w:szCs w:val="22"/>
        </w:rPr>
        <w:t xml:space="preserve"> bude nedílnou součástí Metodiky</w:t>
      </w:r>
      <w:r w:rsidR="00052CA0" w:rsidRPr="00052CA0">
        <w:rPr>
          <w:rFonts w:ascii="Arial" w:hAnsi="Arial" w:cs="Arial"/>
          <w:sz w:val="22"/>
          <w:szCs w:val="22"/>
        </w:rPr>
        <w:t xml:space="preserve"> </w:t>
      </w:r>
      <w:r w:rsidR="00052CA0">
        <w:rPr>
          <w:rFonts w:ascii="Arial" w:hAnsi="Arial" w:cs="Arial"/>
          <w:sz w:val="22"/>
          <w:szCs w:val="22"/>
        </w:rPr>
        <w:t>2017+</w:t>
      </w:r>
      <w:r w:rsidR="00087571">
        <w:rPr>
          <w:rFonts w:ascii="Arial" w:hAnsi="Arial" w:cs="Arial"/>
          <w:sz w:val="22"/>
          <w:szCs w:val="22"/>
        </w:rPr>
        <w:t>.</w:t>
      </w:r>
    </w:p>
    <w:p w:rsidR="00087571" w:rsidRDefault="00087571" w:rsidP="00087571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Metodika pro </w:t>
      </w:r>
      <w:r w:rsidR="00052CA0">
        <w:rPr>
          <w:rFonts w:ascii="Arial" w:hAnsi="Arial" w:cs="Arial"/>
          <w:sz w:val="22"/>
          <w:szCs w:val="22"/>
        </w:rPr>
        <w:t>VŠ</w:t>
      </w:r>
      <w:r w:rsidR="008F628F">
        <w:rPr>
          <w:rFonts w:ascii="Arial" w:hAnsi="Arial" w:cs="Arial"/>
          <w:sz w:val="22"/>
          <w:szCs w:val="22"/>
        </w:rPr>
        <w:t>,</w:t>
      </w:r>
      <w:r w:rsidR="00052CA0">
        <w:rPr>
          <w:rFonts w:ascii="Arial" w:hAnsi="Arial" w:cs="Arial"/>
          <w:sz w:val="22"/>
          <w:szCs w:val="22"/>
        </w:rPr>
        <w:t xml:space="preserve"> principiálně </w:t>
      </w:r>
      <w:r w:rsidR="00BF7CAC">
        <w:rPr>
          <w:rFonts w:ascii="Arial" w:hAnsi="Arial" w:cs="Arial"/>
          <w:sz w:val="22"/>
          <w:szCs w:val="22"/>
        </w:rPr>
        <w:t>rozpracovávající</w:t>
      </w:r>
      <w:r w:rsidR="00052CA0">
        <w:rPr>
          <w:rFonts w:ascii="Arial" w:hAnsi="Arial" w:cs="Arial"/>
          <w:sz w:val="22"/>
          <w:szCs w:val="22"/>
        </w:rPr>
        <w:t xml:space="preserve"> Metodiku 2017+</w:t>
      </w:r>
      <w:r w:rsidR="008F628F">
        <w:rPr>
          <w:rFonts w:ascii="Arial" w:hAnsi="Arial" w:cs="Arial"/>
          <w:sz w:val="22"/>
          <w:szCs w:val="22"/>
        </w:rPr>
        <w:t>,</w:t>
      </w:r>
      <w:r w:rsidR="00052CA0">
        <w:rPr>
          <w:rFonts w:ascii="Arial" w:hAnsi="Arial" w:cs="Arial"/>
          <w:sz w:val="22"/>
          <w:szCs w:val="22"/>
        </w:rPr>
        <w:t xml:space="preserve"> je metodik</w:t>
      </w:r>
      <w:r w:rsidR="00F1407B">
        <w:rPr>
          <w:rFonts w:ascii="Arial" w:hAnsi="Arial" w:cs="Arial"/>
          <w:sz w:val="22"/>
          <w:szCs w:val="22"/>
        </w:rPr>
        <w:t>o</w:t>
      </w:r>
      <w:r w:rsidR="00052CA0">
        <w:rPr>
          <w:rFonts w:ascii="Arial" w:hAnsi="Arial" w:cs="Arial"/>
          <w:sz w:val="22"/>
          <w:szCs w:val="22"/>
        </w:rPr>
        <w:t>u hodnocení výzkumné organizace z úrovně poskytovatele institucionální podpory na dlouhodobý koncepční rozvoj výzkumné or</w:t>
      </w:r>
      <w:bookmarkStart w:id="0" w:name="_GoBack"/>
      <w:bookmarkEnd w:id="0"/>
      <w:r w:rsidR="00052CA0">
        <w:rPr>
          <w:rFonts w:ascii="Arial" w:hAnsi="Arial" w:cs="Arial"/>
          <w:sz w:val="22"/>
          <w:szCs w:val="22"/>
        </w:rPr>
        <w:t xml:space="preserve">ganizace. Předmětem hodnocení je vysoká škola jako celek, podrobnější hodnocení na úrovni součástí vysoké školy nebo podle oborového </w:t>
      </w:r>
      <w:r w:rsidR="008F628F">
        <w:rPr>
          <w:rFonts w:ascii="Arial" w:hAnsi="Arial" w:cs="Arial"/>
          <w:sz w:val="22"/>
          <w:szCs w:val="22"/>
        </w:rPr>
        <w:t>členě</w:t>
      </w:r>
      <w:r w:rsidR="00052CA0">
        <w:rPr>
          <w:rFonts w:ascii="Arial" w:hAnsi="Arial" w:cs="Arial"/>
          <w:sz w:val="22"/>
          <w:szCs w:val="22"/>
        </w:rPr>
        <w:t xml:space="preserve">ní slouží jako podklad pro hodnocení celé organizace, </w:t>
      </w:r>
      <w:r w:rsidR="008F628F">
        <w:rPr>
          <w:rFonts w:ascii="Arial" w:hAnsi="Arial" w:cs="Arial"/>
          <w:sz w:val="22"/>
          <w:szCs w:val="22"/>
        </w:rPr>
        <w:t xml:space="preserve">zároveň však </w:t>
      </w:r>
      <w:r w:rsidR="00052CA0">
        <w:rPr>
          <w:rFonts w:ascii="Arial" w:hAnsi="Arial" w:cs="Arial"/>
          <w:sz w:val="22"/>
          <w:szCs w:val="22"/>
        </w:rPr>
        <w:t xml:space="preserve">poskytuje informace i pro úroveň řízení výzkumné organizace. Podle Metodiky pro VŠ jsou hodnoceny všechny vysoké školy, tedy veřejné, státní i soukromé, které jsou zapsány v seznamu výzkumných organizací,  o hodnocení požádají a předloží úplné a správné dokumenty pro hodnocení. </w:t>
      </w:r>
      <w:r w:rsidR="00FF0684">
        <w:rPr>
          <w:rFonts w:ascii="Arial" w:hAnsi="Arial" w:cs="Arial"/>
          <w:sz w:val="22"/>
          <w:szCs w:val="22"/>
        </w:rPr>
        <w:t xml:space="preserve">Hodnocení se provádí v modulech 3 až 5 popsaných v Metodice 2017+ (Modul 3 – Společenská relevance, Modul 4 – Viabilita, Modul 5 – Strategie a koncepce), výstupy Modulu 1 – Kvalita vybraných výsledků a Modulu 2 – Výkonnost výzkumu jsou do kompletního hodnocení v segmentu vysokých škol přebírány z národní úrovně hodnocení, které zajišťuje </w:t>
      </w:r>
      <w:r w:rsidR="004A796E">
        <w:rPr>
          <w:rFonts w:ascii="Arial" w:hAnsi="Arial" w:cs="Arial"/>
          <w:sz w:val="22"/>
          <w:szCs w:val="22"/>
        </w:rPr>
        <w:t>RVVI</w:t>
      </w:r>
      <w:r w:rsidR="00FF0684">
        <w:rPr>
          <w:rFonts w:ascii="Arial" w:hAnsi="Arial" w:cs="Arial"/>
          <w:sz w:val="22"/>
          <w:szCs w:val="22"/>
        </w:rPr>
        <w:t>.</w:t>
      </w:r>
      <w:r w:rsidR="00B3728F">
        <w:rPr>
          <w:rFonts w:ascii="Arial" w:hAnsi="Arial" w:cs="Arial"/>
          <w:sz w:val="22"/>
          <w:szCs w:val="22"/>
        </w:rPr>
        <w:t xml:space="preserve"> </w:t>
      </w:r>
    </w:p>
    <w:p w:rsidR="00B3728F" w:rsidRDefault="00B3728F" w:rsidP="00087571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Při zpracování Metodiky pro VŠ a při zpracování podrobné dokumentace pro zajištění podkladů pro hodnocení byly využity výstupy individuální</w:t>
      </w:r>
      <w:r w:rsidR="008F628F">
        <w:rPr>
          <w:rFonts w:ascii="Arial" w:hAnsi="Arial" w:cs="Arial"/>
          <w:sz w:val="22"/>
          <w:szCs w:val="22"/>
        </w:rPr>
        <w:t>ho</w:t>
      </w:r>
      <w:r>
        <w:rPr>
          <w:rFonts w:ascii="Arial" w:hAnsi="Arial" w:cs="Arial"/>
          <w:sz w:val="22"/>
          <w:szCs w:val="22"/>
        </w:rPr>
        <w:t xml:space="preserve"> projektu národního podpořené</w:t>
      </w:r>
      <w:r w:rsidR="008F628F">
        <w:rPr>
          <w:rFonts w:ascii="Arial" w:hAnsi="Arial" w:cs="Arial"/>
          <w:sz w:val="22"/>
          <w:szCs w:val="22"/>
        </w:rPr>
        <w:t>ho</w:t>
      </w:r>
      <w:r>
        <w:rPr>
          <w:rFonts w:ascii="Arial" w:hAnsi="Arial" w:cs="Arial"/>
          <w:sz w:val="22"/>
          <w:szCs w:val="22"/>
        </w:rPr>
        <w:t xml:space="preserve"> z Operačního programu Vzdělávání pro konkurenceschopnost „</w:t>
      </w:r>
      <w:r w:rsidR="00C764CC">
        <w:rPr>
          <w:rFonts w:ascii="Arial" w:hAnsi="Arial" w:cs="Arial"/>
          <w:sz w:val="22"/>
          <w:szCs w:val="22"/>
        </w:rPr>
        <w:t>Efektivní systém hodnocení a </w:t>
      </w:r>
      <w:r>
        <w:rPr>
          <w:rFonts w:ascii="Arial" w:hAnsi="Arial" w:cs="Arial"/>
          <w:sz w:val="22"/>
          <w:szCs w:val="22"/>
        </w:rPr>
        <w:t xml:space="preserve">financování výzkumu, vývoje a inovací – CZ.1.07/4.1.00/33.0003“ (IPN Metodika), </w:t>
      </w:r>
      <w:r w:rsidR="008F628F">
        <w:rPr>
          <w:rFonts w:ascii="Arial" w:hAnsi="Arial" w:cs="Arial"/>
          <w:sz w:val="22"/>
          <w:szCs w:val="22"/>
        </w:rPr>
        <w:t>financované</w:t>
      </w:r>
      <w:r>
        <w:rPr>
          <w:rFonts w:ascii="Arial" w:hAnsi="Arial" w:cs="Arial"/>
          <w:sz w:val="22"/>
          <w:szCs w:val="22"/>
        </w:rPr>
        <w:t xml:space="preserve">ho v letech </w:t>
      </w:r>
      <w:r w:rsidR="008309E3">
        <w:rPr>
          <w:rFonts w:ascii="Arial" w:hAnsi="Arial" w:cs="Arial"/>
          <w:sz w:val="22"/>
          <w:szCs w:val="22"/>
        </w:rPr>
        <w:t xml:space="preserve">2011 až 2013 </w:t>
      </w:r>
      <w:r>
        <w:rPr>
          <w:rFonts w:ascii="Arial" w:hAnsi="Arial" w:cs="Arial"/>
          <w:sz w:val="22"/>
          <w:szCs w:val="22"/>
        </w:rPr>
        <w:t>z Evropského sociálního fondu a státního rozpočtu ČR.</w:t>
      </w:r>
    </w:p>
    <w:p w:rsidR="00FF0684" w:rsidRDefault="00FF0684" w:rsidP="00087571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Cílem hodnocení podle Metodiky pro VŠ je naplnění obecných cílů hodnocení výzkumných organizací stanovených v Metodice 2017+, zejména pak </w:t>
      </w:r>
      <w:r w:rsidR="00FB7CF9">
        <w:rPr>
          <w:rFonts w:ascii="Arial" w:hAnsi="Arial" w:cs="Arial"/>
          <w:sz w:val="22"/>
          <w:szCs w:val="22"/>
        </w:rPr>
        <w:t>získání informací pro zvýšení kvality řízení výzkumu, experimentálního vývoje a inovací na všech stupních a získání jednoho z podkladů pro stanovení výše a poskytnutí institucionální podpory na dlouhodobý koncepční rozvoj výzkumné organizace. Na rozdíl od pevné přímé vazby výsledku hodnocení a výš</w:t>
      </w:r>
      <w:r w:rsidR="008309E3">
        <w:rPr>
          <w:rFonts w:ascii="Arial" w:hAnsi="Arial" w:cs="Arial"/>
          <w:sz w:val="22"/>
          <w:szCs w:val="22"/>
        </w:rPr>
        <w:t>e</w:t>
      </w:r>
      <w:r w:rsidR="00FB7CF9">
        <w:rPr>
          <w:rFonts w:ascii="Arial" w:hAnsi="Arial" w:cs="Arial"/>
          <w:sz w:val="22"/>
          <w:szCs w:val="22"/>
        </w:rPr>
        <w:t xml:space="preserve"> podpory uplatňované v letech 2010 až 2018 jde nyní o d</w:t>
      </w:r>
      <w:r w:rsidR="005B5B4B">
        <w:rPr>
          <w:rFonts w:ascii="Arial" w:hAnsi="Arial" w:cs="Arial"/>
          <w:sz w:val="22"/>
          <w:szCs w:val="22"/>
        </w:rPr>
        <w:t>va oddělené procesy, proto se v </w:t>
      </w:r>
      <w:r w:rsidR="00FB7CF9">
        <w:rPr>
          <w:rFonts w:ascii="Arial" w:hAnsi="Arial" w:cs="Arial"/>
          <w:sz w:val="22"/>
          <w:szCs w:val="22"/>
        </w:rPr>
        <w:t>návrhu usnesení ukládá poskytovatelům, do jejich</w:t>
      </w:r>
      <w:r w:rsidR="00E60ADB">
        <w:rPr>
          <w:rFonts w:ascii="Arial" w:hAnsi="Arial" w:cs="Arial"/>
          <w:sz w:val="22"/>
          <w:szCs w:val="22"/>
        </w:rPr>
        <w:t>ž</w:t>
      </w:r>
      <w:r w:rsidR="00FB7CF9">
        <w:rPr>
          <w:rFonts w:ascii="Arial" w:hAnsi="Arial" w:cs="Arial"/>
          <w:sz w:val="22"/>
          <w:szCs w:val="22"/>
        </w:rPr>
        <w:t xml:space="preserve"> působnosti vysoké školy spadají, zpracovat a zveřejnit pravidla </w:t>
      </w:r>
      <w:r w:rsidR="00FB7CF9" w:rsidRPr="00FB7CF9">
        <w:rPr>
          <w:rFonts w:ascii="Arial" w:hAnsi="Arial" w:cs="Arial"/>
          <w:sz w:val="22"/>
          <w:szCs w:val="22"/>
        </w:rPr>
        <w:t>poskytování institucionální podpory na dlouhodobý koncepční rozvoj výzkumn</w:t>
      </w:r>
      <w:r w:rsidR="00A11818">
        <w:rPr>
          <w:rFonts w:ascii="Arial" w:hAnsi="Arial" w:cs="Arial"/>
          <w:sz w:val="22"/>
          <w:szCs w:val="22"/>
        </w:rPr>
        <w:t>é organizace na léta 2021 až 202</w:t>
      </w:r>
      <w:r w:rsidR="00FB7CF9" w:rsidRPr="00FB7CF9">
        <w:rPr>
          <w:rFonts w:ascii="Arial" w:hAnsi="Arial" w:cs="Arial"/>
          <w:sz w:val="22"/>
          <w:szCs w:val="22"/>
        </w:rPr>
        <w:t xml:space="preserve">5 </w:t>
      </w:r>
      <w:r w:rsidR="00FB7CF9">
        <w:rPr>
          <w:rFonts w:ascii="Arial" w:hAnsi="Arial" w:cs="Arial"/>
          <w:sz w:val="22"/>
          <w:szCs w:val="22"/>
        </w:rPr>
        <w:t>n</w:t>
      </w:r>
      <w:r w:rsidR="00FB7CF9" w:rsidRPr="00FB7CF9">
        <w:rPr>
          <w:rFonts w:ascii="Arial" w:hAnsi="Arial" w:cs="Arial"/>
          <w:sz w:val="22"/>
          <w:szCs w:val="22"/>
        </w:rPr>
        <w:t>a základě výsledku hodnocení provedeného na úrovni poskytovatele s využití</w:t>
      </w:r>
      <w:r w:rsidR="00C764CC">
        <w:rPr>
          <w:rFonts w:ascii="Arial" w:hAnsi="Arial" w:cs="Arial"/>
          <w:sz w:val="22"/>
          <w:szCs w:val="22"/>
        </w:rPr>
        <w:t>m výsledků hodnocení podle § 35 </w:t>
      </w:r>
      <w:r w:rsidR="00FB7CF9" w:rsidRPr="00FB7CF9">
        <w:rPr>
          <w:rFonts w:ascii="Arial" w:hAnsi="Arial" w:cs="Arial"/>
          <w:sz w:val="22"/>
          <w:szCs w:val="22"/>
        </w:rPr>
        <w:t>odst. 2 písm. d) zákona č. 130/2002 Sb., o podpoře výz</w:t>
      </w:r>
      <w:r w:rsidR="00C764CC">
        <w:rPr>
          <w:rFonts w:ascii="Arial" w:hAnsi="Arial" w:cs="Arial"/>
          <w:sz w:val="22"/>
          <w:szCs w:val="22"/>
        </w:rPr>
        <w:t>kumu, experimentálního vývoje a </w:t>
      </w:r>
      <w:r w:rsidR="005B5B4B">
        <w:rPr>
          <w:rFonts w:ascii="Arial" w:hAnsi="Arial" w:cs="Arial"/>
          <w:sz w:val="22"/>
          <w:szCs w:val="22"/>
        </w:rPr>
        <w:t>inovace z </w:t>
      </w:r>
      <w:r w:rsidR="00FB7CF9" w:rsidRPr="00FB7CF9">
        <w:rPr>
          <w:rFonts w:ascii="Arial" w:hAnsi="Arial" w:cs="Arial"/>
          <w:sz w:val="22"/>
          <w:szCs w:val="22"/>
        </w:rPr>
        <w:t>veřejných prostředků a o změně některýc</w:t>
      </w:r>
      <w:r w:rsidR="00C764CC">
        <w:rPr>
          <w:rFonts w:ascii="Arial" w:hAnsi="Arial" w:cs="Arial"/>
          <w:sz w:val="22"/>
          <w:szCs w:val="22"/>
        </w:rPr>
        <w:t>h souvisejících zákonů (zákon o </w:t>
      </w:r>
      <w:r w:rsidR="00FB7CF9" w:rsidRPr="00FB7CF9">
        <w:rPr>
          <w:rFonts w:ascii="Arial" w:hAnsi="Arial" w:cs="Arial"/>
          <w:sz w:val="22"/>
          <w:szCs w:val="22"/>
        </w:rPr>
        <w:t>podpoře výz</w:t>
      </w:r>
      <w:r w:rsidR="00FB7CF9">
        <w:rPr>
          <w:rFonts w:ascii="Arial" w:hAnsi="Arial" w:cs="Arial"/>
          <w:sz w:val="22"/>
          <w:szCs w:val="22"/>
        </w:rPr>
        <w:t>kumu, experimentálního vývoje a </w:t>
      </w:r>
      <w:r w:rsidR="00FB7CF9" w:rsidRPr="00FB7CF9">
        <w:rPr>
          <w:rFonts w:ascii="Arial" w:hAnsi="Arial" w:cs="Arial"/>
          <w:sz w:val="22"/>
          <w:szCs w:val="22"/>
        </w:rPr>
        <w:t>inovací)</w:t>
      </w:r>
      <w:r w:rsidR="00E60ADB">
        <w:rPr>
          <w:rStyle w:val="Znakapoznpodarou"/>
          <w:rFonts w:ascii="Arial" w:hAnsi="Arial" w:cs="Arial"/>
          <w:sz w:val="22"/>
          <w:szCs w:val="22"/>
        </w:rPr>
        <w:footnoteReference w:id="1"/>
      </w:r>
      <w:r w:rsidR="00FB7CF9" w:rsidRPr="00FB7CF9">
        <w:rPr>
          <w:rFonts w:ascii="Arial" w:hAnsi="Arial" w:cs="Arial"/>
          <w:sz w:val="22"/>
          <w:szCs w:val="22"/>
        </w:rPr>
        <w:t>, ve znění pozdějších předpisů</w:t>
      </w:r>
      <w:r w:rsidR="008309E3">
        <w:rPr>
          <w:rFonts w:ascii="Arial" w:hAnsi="Arial" w:cs="Arial"/>
          <w:sz w:val="22"/>
          <w:szCs w:val="22"/>
        </w:rPr>
        <w:t>, naplňující požadavek transparentnosti, předvídatelnosti a stabilizace poskytované podpory.</w:t>
      </w:r>
    </w:p>
    <w:p w:rsidR="00A11D09" w:rsidRDefault="008309E3" w:rsidP="00087571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V souladu s procesem p</w:t>
      </w:r>
      <w:r w:rsidR="00052CA0">
        <w:rPr>
          <w:rFonts w:ascii="Arial" w:hAnsi="Arial" w:cs="Arial"/>
          <w:sz w:val="22"/>
          <w:szCs w:val="22"/>
        </w:rPr>
        <w:t>os</w:t>
      </w:r>
      <w:r>
        <w:rPr>
          <w:rFonts w:ascii="Arial" w:hAnsi="Arial" w:cs="Arial"/>
          <w:sz w:val="22"/>
          <w:szCs w:val="22"/>
        </w:rPr>
        <w:t>ilování autonomie</w:t>
      </w:r>
      <w:r w:rsidR="00052CA0">
        <w:rPr>
          <w:rFonts w:ascii="Arial" w:hAnsi="Arial" w:cs="Arial"/>
          <w:sz w:val="22"/>
          <w:szCs w:val="22"/>
        </w:rPr>
        <w:t xml:space="preserve"> vysokých škol</w:t>
      </w:r>
      <w:r w:rsidR="00A11D09">
        <w:rPr>
          <w:rFonts w:ascii="Arial" w:hAnsi="Arial" w:cs="Arial"/>
          <w:sz w:val="22"/>
          <w:szCs w:val="22"/>
        </w:rPr>
        <w:t xml:space="preserve"> při řízení kvalitativních procesů na straně jedné a s ní související odpovědností na straně druhé, jak byl nastaven novelou zákona o vysokých školách, </w:t>
      </w:r>
      <w:r w:rsidR="00BF7CAC">
        <w:rPr>
          <w:rFonts w:ascii="Arial" w:hAnsi="Arial" w:cs="Arial"/>
          <w:sz w:val="22"/>
          <w:szCs w:val="22"/>
        </w:rPr>
        <w:t>účinnou od 1. 9. 2016</w:t>
      </w:r>
      <w:r w:rsidR="00A11D09">
        <w:rPr>
          <w:rFonts w:ascii="Arial" w:hAnsi="Arial" w:cs="Arial"/>
          <w:sz w:val="22"/>
          <w:szCs w:val="22"/>
        </w:rPr>
        <w:t>, navrhuje se možnost pověřit vysokou školu organizačním zabezpečením hodnocení. Vysoká škola,</w:t>
      </w:r>
      <w:r w:rsidR="00C764CC">
        <w:rPr>
          <w:rFonts w:ascii="Arial" w:hAnsi="Arial" w:cs="Arial"/>
          <w:sz w:val="22"/>
          <w:szCs w:val="22"/>
        </w:rPr>
        <w:t xml:space="preserve"> její orgány, orgány součástí i </w:t>
      </w:r>
      <w:r w:rsidR="00A11D09">
        <w:rPr>
          <w:rFonts w:ascii="Arial" w:hAnsi="Arial" w:cs="Arial"/>
          <w:sz w:val="22"/>
          <w:szCs w:val="22"/>
        </w:rPr>
        <w:t xml:space="preserve">běžní zaměstnanci tak budou </w:t>
      </w:r>
      <w:r w:rsidR="00F1407B">
        <w:rPr>
          <w:rFonts w:ascii="Arial" w:hAnsi="Arial" w:cs="Arial"/>
          <w:sz w:val="22"/>
          <w:szCs w:val="22"/>
        </w:rPr>
        <w:t>aktivně zapojeni</w:t>
      </w:r>
      <w:r w:rsidR="00A11D09">
        <w:rPr>
          <w:rFonts w:ascii="Arial" w:hAnsi="Arial" w:cs="Arial"/>
          <w:sz w:val="22"/>
          <w:szCs w:val="22"/>
        </w:rPr>
        <w:t xml:space="preserve"> do procesu hodnocení, budou moci sledovat, </w:t>
      </w:r>
      <w:r w:rsidR="0039602C">
        <w:rPr>
          <w:rFonts w:ascii="Arial" w:hAnsi="Arial" w:cs="Arial"/>
          <w:sz w:val="22"/>
          <w:szCs w:val="22"/>
        </w:rPr>
        <w:t xml:space="preserve">jeho průběh a </w:t>
      </w:r>
      <w:r w:rsidR="00A11D09">
        <w:rPr>
          <w:rFonts w:ascii="Arial" w:hAnsi="Arial" w:cs="Arial"/>
          <w:sz w:val="22"/>
          <w:szCs w:val="22"/>
        </w:rPr>
        <w:t>poskytovat hodnot</w:t>
      </w:r>
      <w:r w:rsidR="00BF7CAC">
        <w:rPr>
          <w:rFonts w:ascii="Arial" w:hAnsi="Arial" w:cs="Arial"/>
          <w:sz w:val="22"/>
          <w:szCs w:val="22"/>
        </w:rPr>
        <w:t xml:space="preserve">itelům relevantní informace. </w:t>
      </w:r>
      <w:r w:rsidR="0039602C">
        <w:rPr>
          <w:rFonts w:ascii="Arial" w:hAnsi="Arial" w:cs="Arial"/>
          <w:sz w:val="22"/>
          <w:szCs w:val="22"/>
        </w:rPr>
        <w:t>N</w:t>
      </w:r>
      <w:r w:rsidR="00A11D09">
        <w:rPr>
          <w:rFonts w:ascii="Arial" w:hAnsi="Arial" w:cs="Arial"/>
          <w:sz w:val="22"/>
          <w:szCs w:val="22"/>
        </w:rPr>
        <w:t xml:space="preserve">áklady na organizační zabezpečení hodnocení se navrhuje </w:t>
      </w:r>
      <w:r w:rsidR="005A417F">
        <w:rPr>
          <w:rFonts w:ascii="Arial" w:hAnsi="Arial" w:cs="Arial"/>
          <w:sz w:val="22"/>
          <w:szCs w:val="22"/>
        </w:rPr>
        <w:t>podpořit přiměřeným navýšením institucionální podpory na dlouhodobý koncepční rozvoj výzkumné organizace bez dodatečného požadavku na státní rozpočet</w:t>
      </w:r>
      <w:r w:rsidR="0039602C">
        <w:rPr>
          <w:rFonts w:ascii="Arial" w:hAnsi="Arial" w:cs="Arial"/>
          <w:sz w:val="22"/>
          <w:szCs w:val="22"/>
        </w:rPr>
        <w:t>. N</w:t>
      </w:r>
      <w:r w:rsidR="005A417F">
        <w:rPr>
          <w:rFonts w:ascii="Arial" w:hAnsi="Arial" w:cs="Arial"/>
          <w:sz w:val="22"/>
          <w:szCs w:val="22"/>
        </w:rPr>
        <w:t xml:space="preserve">avýšení bude uhrazeno z profilujících nároků z nespotřebovaných výdajů státního rozpočtu na výzkum, vývoj a inovace poskytovatele. Toto řešení bude bezpochyby efektivnější než zvyšování výdajů státní správy. </w:t>
      </w:r>
    </w:p>
    <w:p w:rsidR="005A417F" w:rsidRDefault="005A417F" w:rsidP="00087571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Objektivnost hodnocení je založena na expertním posouzení mezinárodním evaluačním panelem. Složení panelu bude podléhat vyjádření Komise pro hodnocení výsledků výzkumných organizací a </w:t>
      </w:r>
      <w:r w:rsidR="00DC382C">
        <w:rPr>
          <w:rFonts w:ascii="Arial" w:hAnsi="Arial" w:cs="Arial"/>
          <w:sz w:val="22"/>
          <w:szCs w:val="22"/>
        </w:rPr>
        <w:t>ukončených programů</w:t>
      </w:r>
      <w:r w:rsidR="00DC382C">
        <w:rPr>
          <w:rStyle w:val="Znakapoznpodarou"/>
          <w:rFonts w:ascii="Arial" w:hAnsi="Arial" w:cs="Arial"/>
          <w:sz w:val="22"/>
          <w:szCs w:val="22"/>
        </w:rPr>
        <w:footnoteReference w:id="2"/>
      </w:r>
      <w:r w:rsidR="00DC382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 </w:t>
      </w:r>
      <w:r w:rsidR="00C764CC">
        <w:rPr>
          <w:rFonts w:ascii="Arial" w:hAnsi="Arial" w:cs="Arial"/>
          <w:sz w:val="22"/>
          <w:szCs w:val="22"/>
        </w:rPr>
        <w:t xml:space="preserve">bude zveřejněno před začátkem hodnocení. </w:t>
      </w:r>
      <w:r w:rsidR="00F1407B">
        <w:rPr>
          <w:rFonts w:ascii="Arial" w:hAnsi="Arial" w:cs="Arial"/>
          <w:sz w:val="22"/>
          <w:szCs w:val="22"/>
        </w:rPr>
        <w:t>Navrže</w:t>
      </w:r>
      <w:r w:rsidR="004A796E">
        <w:rPr>
          <w:rFonts w:ascii="Arial" w:hAnsi="Arial" w:cs="Arial"/>
          <w:sz w:val="22"/>
          <w:szCs w:val="22"/>
        </w:rPr>
        <w:t>ný proces nominace a skládaní panelů zvýší prestiž i zastoupení špičkových</w:t>
      </w:r>
      <w:r w:rsidR="00C764CC">
        <w:rPr>
          <w:rFonts w:ascii="Arial" w:hAnsi="Arial" w:cs="Arial"/>
          <w:sz w:val="22"/>
          <w:szCs w:val="22"/>
        </w:rPr>
        <w:t xml:space="preserve"> odborníků, včetně </w:t>
      </w:r>
      <w:r w:rsidR="004A796E">
        <w:rPr>
          <w:rFonts w:ascii="Arial" w:hAnsi="Arial" w:cs="Arial"/>
          <w:sz w:val="22"/>
          <w:szCs w:val="22"/>
        </w:rPr>
        <w:t xml:space="preserve">těch </w:t>
      </w:r>
      <w:r w:rsidR="00C764CC">
        <w:rPr>
          <w:rFonts w:ascii="Arial" w:hAnsi="Arial" w:cs="Arial"/>
          <w:sz w:val="22"/>
          <w:szCs w:val="22"/>
        </w:rPr>
        <w:t>zahraničních, kteří poskytnou nezávislou zpětnou vazbu výzkumné organizaci, případně dají doporučení k dalšímu postupu.</w:t>
      </w:r>
    </w:p>
    <w:p w:rsidR="0088564A" w:rsidRPr="00C95FD8" w:rsidRDefault="00A0580F" w:rsidP="00C95FD8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95FD8">
        <w:rPr>
          <w:rFonts w:ascii="Arial" w:hAnsi="Arial" w:cs="Arial"/>
          <w:sz w:val="22"/>
          <w:szCs w:val="22"/>
        </w:rPr>
        <w:t xml:space="preserve">Návrh </w:t>
      </w:r>
      <w:r w:rsidR="00087571">
        <w:rPr>
          <w:rFonts w:ascii="Arial" w:hAnsi="Arial" w:cs="Arial"/>
          <w:sz w:val="22"/>
          <w:szCs w:val="22"/>
        </w:rPr>
        <w:t>Metodiky pro VŠ</w:t>
      </w:r>
      <w:r w:rsidRPr="00C95FD8">
        <w:rPr>
          <w:rFonts w:ascii="Arial" w:hAnsi="Arial" w:cs="Arial"/>
          <w:sz w:val="22"/>
          <w:szCs w:val="22"/>
        </w:rPr>
        <w:t xml:space="preserve"> neovlivňuje podnikatelsk</w:t>
      </w:r>
      <w:r w:rsidR="008276EB">
        <w:rPr>
          <w:rFonts w:ascii="Arial" w:hAnsi="Arial" w:cs="Arial"/>
          <w:sz w:val="22"/>
          <w:szCs w:val="22"/>
        </w:rPr>
        <w:t>é prostředí v České republice a </w:t>
      </w:r>
      <w:r w:rsidRPr="00C95FD8">
        <w:rPr>
          <w:rFonts w:ascii="Arial" w:hAnsi="Arial" w:cs="Arial"/>
          <w:sz w:val="22"/>
          <w:szCs w:val="22"/>
        </w:rPr>
        <w:t>nezasahuje do rovných práv mužů a žen.</w:t>
      </w:r>
    </w:p>
    <w:sectPr w:rsidR="0088564A" w:rsidRPr="00C95F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33A0" w:rsidRDefault="003A33A0">
      <w:r>
        <w:separator/>
      </w:r>
    </w:p>
  </w:endnote>
  <w:endnote w:type="continuationSeparator" w:id="0">
    <w:p w:rsidR="003A33A0" w:rsidRDefault="003A3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33A0" w:rsidRDefault="003A33A0">
      <w:r>
        <w:separator/>
      </w:r>
    </w:p>
  </w:footnote>
  <w:footnote w:type="continuationSeparator" w:id="0">
    <w:p w:rsidR="003A33A0" w:rsidRDefault="003A33A0">
      <w:r>
        <w:continuationSeparator/>
      </w:r>
    </w:p>
  </w:footnote>
  <w:footnote w:id="1">
    <w:p w:rsidR="00E60ADB" w:rsidRPr="00E60ADB" w:rsidRDefault="00E60ADB">
      <w:pPr>
        <w:pStyle w:val="Textpoznpodarou"/>
        <w:rPr>
          <w:rFonts w:ascii="Arial" w:hAnsi="Arial" w:cs="Arial"/>
        </w:rPr>
      </w:pPr>
      <w:r w:rsidRPr="00D4716A">
        <w:rPr>
          <w:rStyle w:val="Znakapoznpodarou"/>
          <w:rFonts w:ascii="Calibri" w:hAnsi="Calibri" w:cs="Arial"/>
        </w:rPr>
        <w:footnoteRef/>
      </w:r>
      <w:r w:rsidRPr="00D4716A">
        <w:rPr>
          <w:rFonts w:ascii="Calibri" w:hAnsi="Calibri" w:cs="Arial"/>
        </w:rPr>
        <w:t xml:space="preserve"> Návrh novely zákona č. 130/2002 S., schválen</w:t>
      </w:r>
      <w:r w:rsidR="00A11818">
        <w:rPr>
          <w:rFonts w:ascii="Calibri" w:hAnsi="Calibri" w:cs="Arial"/>
        </w:rPr>
        <w:t>ý</w:t>
      </w:r>
      <w:r w:rsidRPr="00D4716A">
        <w:rPr>
          <w:rFonts w:ascii="Calibri" w:hAnsi="Calibri" w:cs="Arial"/>
        </w:rPr>
        <w:t xml:space="preserve"> usnesením vlády ČR ze dne </w:t>
      </w:r>
      <w:r w:rsidR="00F1407B">
        <w:rPr>
          <w:rFonts w:ascii="Calibri" w:hAnsi="Calibri" w:cs="Arial"/>
        </w:rPr>
        <w:t>6</w:t>
      </w:r>
      <w:r w:rsidRPr="00D4716A">
        <w:rPr>
          <w:rFonts w:ascii="Calibri" w:hAnsi="Calibri" w:cs="Arial"/>
        </w:rPr>
        <w:t>. května 2019 č.</w:t>
      </w:r>
      <w:r w:rsidRPr="00E60ADB">
        <w:rPr>
          <w:rFonts w:ascii="Arial" w:hAnsi="Arial" w:cs="Arial"/>
        </w:rPr>
        <w:t xml:space="preserve"> </w:t>
      </w:r>
      <w:r w:rsidR="00F1407B">
        <w:rPr>
          <w:rFonts w:ascii="Arial" w:hAnsi="Arial" w:cs="Arial"/>
        </w:rPr>
        <w:t>309</w:t>
      </w:r>
      <w:r w:rsidRPr="00E60ADB">
        <w:rPr>
          <w:rFonts w:ascii="Arial" w:hAnsi="Arial" w:cs="Arial"/>
        </w:rPr>
        <w:t>.</w:t>
      </w:r>
    </w:p>
  </w:footnote>
  <w:footnote w:id="2">
    <w:p w:rsidR="00DC382C" w:rsidRPr="00D4716A" w:rsidRDefault="00DC382C">
      <w:pPr>
        <w:pStyle w:val="Textpoznpodarou"/>
        <w:rPr>
          <w:rFonts w:ascii="Calibri" w:hAnsi="Calibri"/>
          <w:sz w:val="18"/>
          <w:szCs w:val="18"/>
        </w:rPr>
      </w:pPr>
      <w:r w:rsidRPr="00D4716A">
        <w:rPr>
          <w:rStyle w:val="Znakapoznpodarou"/>
          <w:rFonts w:ascii="Calibri" w:hAnsi="Calibri"/>
          <w:sz w:val="18"/>
          <w:szCs w:val="18"/>
        </w:rPr>
        <w:footnoteRef/>
      </w:r>
      <w:r w:rsidRPr="00D4716A">
        <w:rPr>
          <w:rFonts w:ascii="Calibri" w:hAnsi="Calibri"/>
          <w:sz w:val="18"/>
          <w:szCs w:val="18"/>
        </w:rPr>
        <w:t xml:space="preserve"> Odborný a poradní orgán </w:t>
      </w:r>
      <w:r w:rsidR="004A796E" w:rsidRPr="00D4716A">
        <w:rPr>
          <w:rFonts w:ascii="Calibri" w:hAnsi="Calibri"/>
          <w:sz w:val="18"/>
          <w:szCs w:val="18"/>
        </w:rPr>
        <w:t>RVVI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D019F0"/>
    <w:multiLevelType w:val="hybridMultilevel"/>
    <w:tmpl w:val="9A343B7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>
      <w:start w:val="1"/>
      <w:numFmt w:val="decimal"/>
      <w:lvlText w:val="%4."/>
      <w:lvlJc w:val="left"/>
      <w:pPr>
        <w:ind w:left="2946" w:hanging="36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>
      <w:start w:val="1"/>
      <w:numFmt w:val="decimal"/>
      <w:lvlText w:val="%7."/>
      <w:lvlJc w:val="left"/>
      <w:pPr>
        <w:ind w:left="5106" w:hanging="360"/>
      </w:pPr>
    </w:lvl>
    <w:lvl w:ilvl="7" w:tplc="04050019">
      <w:start w:val="1"/>
      <w:numFmt w:val="lowerLetter"/>
      <w:lvlText w:val="%8."/>
      <w:lvlJc w:val="left"/>
      <w:pPr>
        <w:ind w:left="5826" w:hanging="360"/>
      </w:pPr>
    </w:lvl>
    <w:lvl w:ilvl="8" w:tplc="040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DFE08A4"/>
    <w:multiLevelType w:val="hybridMultilevel"/>
    <w:tmpl w:val="D9D0AC80"/>
    <w:lvl w:ilvl="0" w:tplc="8E480A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352FDB"/>
    <w:multiLevelType w:val="hybridMultilevel"/>
    <w:tmpl w:val="5246B778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7A7B6D"/>
    <w:multiLevelType w:val="hybridMultilevel"/>
    <w:tmpl w:val="B6E275E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DD2412"/>
    <w:multiLevelType w:val="hybridMultilevel"/>
    <w:tmpl w:val="FCC235C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4F6"/>
    <w:rsid w:val="000073BC"/>
    <w:rsid w:val="00042148"/>
    <w:rsid w:val="00047D00"/>
    <w:rsid w:val="00052CA0"/>
    <w:rsid w:val="00062D87"/>
    <w:rsid w:val="000779AA"/>
    <w:rsid w:val="00087571"/>
    <w:rsid w:val="000B5A38"/>
    <w:rsid w:val="000C337A"/>
    <w:rsid w:val="000D47D1"/>
    <w:rsid w:val="000F7E8A"/>
    <w:rsid w:val="001043F6"/>
    <w:rsid w:val="00117F68"/>
    <w:rsid w:val="00125517"/>
    <w:rsid w:val="00126ED8"/>
    <w:rsid w:val="00160B3C"/>
    <w:rsid w:val="00162860"/>
    <w:rsid w:val="001806EF"/>
    <w:rsid w:val="00191E4A"/>
    <w:rsid w:val="001A2C20"/>
    <w:rsid w:val="001A6E1B"/>
    <w:rsid w:val="001B60A5"/>
    <w:rsid w:val="001C3537"/>
    <w:rsid w:val="001C3701"/>
    <w:rsid w:val="001C3DDA"/>
    <w:rsid w:val="001D2600"/>
    <w:rsid w:val="001F1E9F"/>
    <w:rsid w:val="001F2C56"/>
    <w:rsid w:val="001F3D0A"/>
    <w:rsid w:val="001F4750"/>
    <w:rsid w:val="001F5896"/>
    <w:rsid w:val="00233735"/>
    <w:rsid w:val="00250607"/>
    <w:rsid w:val="0025301B"/>
    <w:rsid w:val="002629ED"/>
    <w:rsid w:val="00297856"/>
    <w:rsid w:val="002B7367"/>
    <w:rsid w:val="002C2D29"/>
    <w:rsid w:val="002E6BFF"/>
    <w:rsid w:val="00303CD0"/>
    <w:rsid w:val="00321972"/>
    <w:rsid w:val="00327831"/>
    <w:rsid w:val="00355330"/>
    <w:rsid w:val="00356D1E"/>
    <w:rsid w:val="003601B2"/>
    <w:rsid w:val="00360294"/>
    <w:rsid w:val="00361158"/>
    <w:rsid w:val="00370DB8"/>
    <w:rsid w:val="003814F6"/>
    <w:rsid w:val="003831CD"/>
    <w:rsid w:val="0039602C"/>
    <w:rsid w:val="003A14FC"/>
    <w:rsid w:val="003A33A0"/>
    <w:rsid w:val="003B75A3"/>
    <w:rsid w:val="003C109B"/>
    <w:rsid w:val="003E15A1"/>
    <w:rsid w:val="003F64CC"/>
    <w:rsid w:val="00403AE8"/>
    <w:rsid w:val="00414CBD"/>
    <w:rsid w:val="00463F7D"/>
    <w:rsid w:val="00467654"/>
    <w:rsid w:val="0047218E"/>
    <w:rsid w:val="00496842"/>
    <w:rsid w:val="004A796E"/>
    <w:rsid w:val="004C22F0"/>
    <w:rsid w:val="004D1D4B"/>
    <w:rsid w:val="004E4789"/>
    <w:rsid w:val="00500471"/>
    <w:rsid w:val="005156A5"/>
    <w:rsid w:val="00517B66"/>
    <w:rsid w:val="00543EC0"/>
    <w:rsid w:val="00544EFA"/>
    <w:rsid w:val="005624DD"/>
    <w:rsid w:val="00566FA1"/>
    <w:rsid w:val="00597672"/>
    <w:rsid w:val="005A3938"/>
    <w:rsid w:val="005A417F"/>
    <w:rsid w:val="005A5254"/>
    <w:rsid w:val="005B1935"/>
    <w:rsid w:val="005B5B4B"/>
    <w:rsid w:val="005C7AB0"/>
    <w:rsid w:val="005D0F81"/>
    <w:rsid w:val="005F6B6F"/>
    <w:rsid w:val="00615808"/>
    <w:rsid w:val="00622400"/>
    <w:rsid w:val="00624D48"/>
    <w:rsid w:val="00640C35"/>
    <w:rsid w:val="0066638A"/>
    <w:rsid w:val="00673C88"/>
    <w:rsid w:val="00680631"/>
    <w:rsid w:val="00686B24"/>
    <w:rsid w:val="006902D4"/>
    <w:rsid w:val="00696465"/>
    <w:rsid w:val="006A0F69"/>
    <w:rsid w:val="006A4D77"/>
    <w:rsid w:val="006C12EE"/>
    <w:rsid w:val="00704ABD"/>
    <w:rsid w:val="0070604D"/>
    <w:rsid w:val="007311C7"/>
    <w:rsid w:val="007321F2"/>
    <w:rsid w:val="0073542B"/>
    <w:rsid w:val="007454D5"/>
    <w:rsid w:val="007849D4"/>
    <w:rsid w:val="0079711F"/>
    <w:rsid w:val="007A1A92"/>
    <w:rsid w:val="007A4DC1"/>
    <w:rsid w:val="007D7F3D"/>
    <w:rsid w:val="008276EB"/>
    <w:rsid w:val="008309E3"/>
    <w:rsid w:val="008348A7"/>
    <w:rsid w:val="008413AD"/>
    <w:rsid w:val="00862306"/>
    <w:rsid w:val="00881D38"/>
    <w:rsid w:val="008828FB"/>
    <w:rsid w:val="0088564A"/>
    <w:rsid w:val="00892DC4"/>
    <w:rsid w:val="00896047"/>
    <w:rsid w:val="008B69BB"/>
    <w:rsid w:val="008B7592"/>
    <w:rsid w:val="008C28EC"/>
    <w:rsid w:val="008C737E"/>
    <w:rsid w:val="008D2158"/>
    <w:rsid w:val="008F628F"/>
    <w:rsid w:val="009047A9"/>
    <w:rsid w:val="009207F7"/>
    <w:rsid w:val="0093527A"/>
    <w:rsid w:val="009454E2"/>
    <w:rsid w:val="009628E2"/>
    <w:rsid w:val="009631E5"/>
    <w:rsid w:val="0099648A"/>
    <w:rsid w:val="009A666E"/>
    <w:rsid w:val="009B3701"/>
    <w:rsid w:val="009B3837"/>
    <w:rsid w:val="009B50DA"/>
    <w:rsid w:val="009E3F62"/>
    <w:rsid w:val="009F4BEC"/>
    <w:rsid w:val="00A00DCA"/>
    <w:rsid w:val="00A048CF"/>
    <w:rsid w:val="00A0580F"/>
    <w:rsid w:val="00A11818"/>
    <w:rsid w:val="00A11D09"/>
    <w:rsid w:val="00A61226"/>
    <w:rsid w:val="00AA3A91"/>
    <w:rsid w:val="00AC19B6"/>
    <w:rsid w:val="00AC719A"/>
    <w:rsid w:val="00AD21FF"/>
    <w:rsid w:val="00AD4C1B"/>
    <w:rsid w:val="00AF2393"/>
    <w:rsid w:val="00AF3859"/>
    <w:rsid w:val="00B156DC"/>
    <w:rsid w:val="00B3728F"/>
    <w:rsid w:val="00B43596"/>
    <w:rsid w:val="00B55321"/>
    <w:rsid w:val="00B61D7C"/>
    <w:rsid w:val="00B67FE9"/>
    <w:rsid w:val="00B744EC"/>
    <w:rsid w:val="00B87050"/>
    <w:rsid w:val="00B948DC"/>
    <w:rsid w:val="00B95868"/>
    <w:rsid w:val="00BB41CC"/>
    <w:rsid w:val="00BC1676"/>
    <w:rsid w:val="00BD5583"/>
    <w:rsid w:val="00BE47FD"/>
    <w:rsid w:val="00BE7BFF"/>
    <w:rsid w:val="00BF061D"/>
    <w:rsid w:val="00BF7CAC"/>
    <w:rsid w:val="00C02E69"/>
    <w:rsid w:val="00C11DA4"/>
    <w:rsid w:val="00C505E4"/>
    <w:rsid w:val="00C5163A"/>
    <w:rsid w:val="00C567AA"/>
    <w:rsid w:val="00C61CDC"/>
    <w:rsid w:val="00C764CC"/>
    <w:rsid w:val="00C86B43"/>
    <w:rsid w:val="00C87798"/>
    <w:rsid w:val="00C90630"/>
    <w:rsid w:val="00C95FD8"/>
    <w:rsid w:val="00CA3B6F"/>
    <w:rsid w:val="00CB7107"/>
    <w:rsid w:val="00CC6345"/>
    <w:rsid w:val="00CD07C2"/>
    <w:rsid w:val="00D06A84"/>
    <w:rsid w:val="00D14174"/>
    <w:rsid w:val="00D151D4"/>
    <w:rsid w:val="00D26A0F"/>
    <w:rsid w:val="00D42077"/>
    <w:rsid w:val="00D4716A"/>
    <w:rsid w:val="00D7778A"/>
    <w:rsid w:val="00D942CD"/>
    <w:rsid w:val="00D967EA"/>
    <w:rsid w:val="00DA6783"/>
    <w:rsid w:val="00DB0234"/>
    <w:rsid w:val="00DB7C22"/>
    <w:rsid w:val="00DC0BF5"/>
    <w:rsid w:val="00DC382C"/>
    <w:rsid w:val="00DC4562"/>
    <w:rsid w:val="00DD6442"/>
    <w:rsid w:val="00DD7C2B"/>
    <w:rsid w:val="00DE3314"/>
    <w:rsid w:val="00E0070C"/>
    <w:rsid w:val="00E20ADA"/>
    <w:rsid w:val="00E21837"/>
    <w:rsid w:val="00E232F7"/>
    <w:rsid w:val="00E40F63"/>
    <w:rsid w:val="00E42066"/>
    <w:rsid w:val="00E44E7E"/>
    <w:rsid w:val="00E60ADB"/>
    <w:rsid w:val="00E73713"/>
    <w:rsid w:val="00E7478A"/>
    <w:rsid w:val="00E863EC"/>
    <w:rsid w:val="00E969C8"/>
    <w:rsid w:val="00EC1772"/>
    <w:rsid w:val="00EC3A04"/>
    <w:rsid w:val="00EC49CC"/>
    <w:rsid w:val="00ED7A4E"/>
    <w:rsid w:val="00EE005D"/>
    <w:rsid w:val="00EE527E"/>
    <w:rsid w:val="00EE7883"/>
    <w:rsid w:val="00F1407B"/>
    <w:rsid w:val="00F31923"/>
    <w:rsid w:val="00F32C76"/>
    <w:rsid w:val="00F811E0"/>
    <w:rsid w:val="00F82F62"/>
    <w:rsid w:val="00F83D31"/>
    <w:rsid w:val="00F97FF0"/>
    <w:rsid w:val="00FB3486"/>
    <w:rsid w:val="00FB3BC8"/>
    <w:rsid w:val="00FB5051"/>
    <w:rsid w:val="00FB7CF9"/>
    <w:rsid w:val="00FF0684"/>
    <w:rsid w:val="00FF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275A25-09AB-4660-B7CA-F0D437B7F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361158"/>
    <w:rPr>
      <w:color w:val="0000FF"/>
      <w:u w:val="single"/>
    </w:rPr>
  </w:style>
  <w:style w:type="paragraph" w:styleId="Textbubliny">
    <w:name w:val="Balloon Text"/>
    <w:basedOn w:val="Normln"/>
    <w:semiHidden/>
    <w:rsid w:val="009047A9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rsid w:val="00EC3A04"/>
    <w:rPr>
      <w:rFonts w:ascii="Verdana" w:hAnsi="Verdana"/>
      <w:sz w:val="20"/>
      <w:szCs w:val="20"/>
    </w:rPr>
  </w:style>
  <w:style w:type="character" w:styleId="Znakapoznpodarou">
    <w:name w:val="footnote reference"/>
    <w:semiHidden/>
    <w:rsid w:val="00EC3A04"/>
    <w:rPr>
      <w:vertAlign w:val="superscript"/>
    </w:rPr>
  </w:style>
  <w:style w:type="paragraph" w:styleId="Zhlav">
    <w:name w:val="header"/>
    <w:basedOn w:val="Normln"/>
    <w:link w:val="ZhlavChar"/>
    <w:uiPriority w:val="99"/>
    <w:rsid w:val="007321F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7321F2"/>
    <w:rPr>
      <w:sz w:val="24"/>
      <w:szCs w:val="24"/>
    </w:rPr>
  </w:style>
  <w:style w:type="paragraph" w:styleId="Zpat">
    <w:name w:val="footer"/>
    <w:basedOn w:val="Normln"/>
    <w:link w:val="ZpatChar"/>
    <w:rsid w:val="007321F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7321F2"/>
    <w:rPr>
      <w:sz w:val="24"/>
      <w:szCs w:val="24"/>
    </w:rPr>
  </w:style>
  <w:style w:type="paragraph" w:customStyle="1" w:styleId="Standard">
    <w:name w:val="Standard"/>
    <w:basedOn w:val="Normln"/>
    <w:rsid w:val="00B43596"/>
    <w:pPr>
      <w:autoSpaceDN w:val="0"/>
    </w:pPr>
    <w:rPr>
      <w:rFonts w:eastAsia="Calibri"/>
      <w:lang w:eastAsia="zh-CN"/>
    </w:rPr>
  </w:style>
  <w:style w:type="table" w:styleId="Mkatabulky">
    <w:name w:val="Table Grid"/>
    <w:basedOn w:val="Normlntabulka"/>
    <w:rsid w:val="00517B66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C0BF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1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7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646B5E-D8B7-4A66-882F-FD4410E74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746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</vt:lpstr>
    </vt:vector>
  </TitlesOfParts>
  <Company>Ministerstvo školství, mládeže a tělovýchovy</Company>
  <LinksUpToDate>false</LinksUpToDate>
  <CharactersWithSpaces>5143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uživatel</dc:creator>
  <cp:keywords/>
  <cp:lastModifiedBy>Říhová Jana</cp:lastModifiedBy>
  <cp:revision>3</cp:revision>
  <cp:lastPrinted>2009-04-16T12:28:00Z</cp:lastPrinted>
  <dcterms:created xsi:type="dcterms:W3CDTF">2019-05-22T11:55:00Z</dcterms:created>
  <dcterms:modified xsi:type="dcterms:W3CDTF">2019-05-22T12:12:00Z</dcterms:modified>
</cp:coreProperties>
</file>